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67E36" w14:textId="316A5907" w:rsidR="00996273" w:rsidRDefault="00996273" w:rsidP="000B0F51">
      <w:pPr>
        <w:rPr>
          <w:b/>
          <w:bCs/>
          <w:sz w:val="32"/>
          <w:szCs w:val="32"/>
        </w:rPr>
      </w:pPr>
      <w:r w:rsidRPr="00F535B7">
        <w:rPr>
          <w:b/>
          <w:bCs/>
          <w:sz w:val="32"/>
          <w:szCs w:val="32"/>
        </w:rPr>
        <w:t xml:space="preserve">Compliance </w:t>
      </w:r>
      <w:r w:rsidR="000B0F51" w:rsidRPr="00F535B7">
        <w:rPr>
          <w:b/>
          <w:bCs/>
          <w:sz w:val="32"/>
          <w:szCs w:val="32"/>
        </w:rPr>
        <w:t>with European Pressure Equipment Directive (PED)</w:t>
      </w:r>
    </w:p>
    <w:p w14:paraId="0C76EF87" w14:textId="77777777" w:rsidR="00F535B7" w:rsidRPr="00F535B7" w:rsidRDefault="00F535B7" w:rsidP="000B0F51">
      <w:pPr>
        <w:rPr>
          <w:b/>
          <w:bCs/>
          <w:sz w:val="32"/>
          <w:szCs w:val="32"/>
        </w:rPr>
      </w:pPr>
    </w:p>
    <w:p w14:paraId="2F2F0F89" w14:textId="2E11DCF7" w:rsidR="000B0F51" w:rsidRPr="000B0F51" w:rsidRDefault="000B0F51" w:rsidP="000B0F51">
      <w:r w:rsidRPr="000B0F51">
        <w:t>At SuperKlean</w:t>
      </w:r>
      <w:r w:rsidR="00996273">
        <w:t xml:space="preserve"> Washdown Products</w:t>
      </w:r>
      <w:r w:rsidRPr="000B0F51">
        <w:t xml:space="preserve">, we are committed to upholding the highest standards of safety and quality in our products. We are proud to announce that our </w:t>
      </w:r>
      <w:r w:rsidR="002674BC">
        <w:t>products</w:t>
      </w:r>
      <w:r w:rsidRPr="000B0F51">
        <w:t xml:space="preserve"> adher</w:t>
      </w:r>
      <w:r w:rsidR="002674BC">
        <w:t>e</w:t>
      </w:r>
      <w:r w:rsidRPr="000B0F51">
        <w:t xml:space="preserve"> to the European Pressure Equipment Directive (PED) EN 2014/68/EU. This directive </w:t>
      </w:r>
      <w:r w:rsidR="00320E55" w:rsidRPr="00320E55">
        <w:t>pertains to stationary pressure equipment with a maximum allowable pressure exceeding 0.5 bar</w:t>
      </w:r>
      <w:r w:rsidR="000678EA">
        <w:t>.</w:t>
      </w:r>
      <w:r w:rsidR="00CC5BA3" w:rsidRPr="00CC5BA3">
        <w:t xml:space="preserve"> </w:t>
      </w:r>
      <w:r w:rsidR="00CC5BA3">
        <w:t xml:space="preserve">SuperKlean products that meet this standard include </w:t>
      </w:r>
      <w:r w:rsidR="00D16B04">
        <w:t xml:space="preserve">the </w:t>
      </w:r>
      <w:r w:rsidR="00CC5BA3">
        <w:t>D</w:t>
      </w:r>
      <w:r w:rsidR="00996273">
        <w:t>URAMIX</w:t>
      </w:r>
      <w:r w:rsidR="00CC5BA3">
        <w:t xml:space="preserve"> 8000 </w:t>
      </w:r>
      <w:r w:rsidR="009964B4">
        <w:t>S</w:t>
      </w:r>
      <w:r w:rsidR="00CC5BA3">
        <w:t xml:space="preserve">team and </w:t>
      </w:r>
      <w:r w:rsidR="009964B4">
        <w:t>Cold Water</w:t>
      </w:r>
      <w:r w:rsidR="00CC5BA3">
        <w:t xml:space="preserve"> </w:t>
      </w:r>
      <w:r w:rsidR="009964B4">
        <w:t>H</w:t>
      </w:r>
      <w:r w:rsidR="00CC5BA3">
        <w:t xml:space="preserve">ose </w:t>
      </w:r>
      <w:r w:rsidR="009964B4">
        <w:t>S</w:t>
      </w:r>
      <w:r w:rsidR="00CC5BA3">
        <w:t>tation</w:t>
      </w:r>
      <w:r w:rsidR="00D16B04">
        <w:t xml:space="preserve"> </w:t>
      </w:r>
      <w:r w:rsidR="00996273">
        <w:t>S</w:t>
      </w:r>
      <w:r w:rsidR="009964B4">
        <w:t>eries</w:t>
      </w:r>
      <w:r w:rsidR="00D16B04">
        <w:t xml:space="preserve"> </w:t>
      </w:r>
      <w:r w:rsidR="00CC5BA3">
        <w:t xml:space="preserve">and </w:t>
      </w:r>
      <w:r w:rsidR="009964B4">
        <w:t xml:space="preserve">the </w:t>
      </w:r>
      <w:r w:rsidR="00CC5BA3">
        <w:t>3600</w:t>
      </w:r>
      <w:r w:rsidR="00996273">
        <w:t xml:space="preserve"> Series of</w:t>
      </w:r>
      <w:r w:rsidR="00CC5BA3">
        <w:t xml:space="preserve"> </w:t>
      </w:r>
      <w:r w:rsidR="009964B4">
        <w:t>H</w:t>
      </w:r>
      <w:r w:rsidR="00CC5BA3">
        <w:t xml:space="preserve">ot and </w:t>
      </w:r>
      <w:r w:rsidR="009964B4">
        <w:t>C</w:t>
      </w:r>
      <w:r w:rsidR="00CC5BA3">
        <w:t xml:space="preserve">old </w:t>
      </w:r>
      <w:r w:rsidR="009964B4">
        <w:t>H</w:t>
      </w:r>
      <w:r w:rsidR="00CC5BA3">
        <w:t xml:space="preserve">ose </w:t>
      </w:r>
      <w:r w:rsidR="009964B4">
        <w:t>S</w:t>
      </w:r>
      <w:r w:rsidR="00CC5BA3">
        <w:t>tation</w:t>
      </w:r>
      <w:r w:rsidR="00996273">
        <w:t>s</w:t>
      </w:r>
      <w:r w:rsidR="00CC5BA3">
        <w:t xml:space="preserve">. </w:t>
      </w:r>
    </w:p>
    <w:p w14:paraId="3B73BB6F" w14:textId="36801C63" w:rsidR="000B0F51" w:rsidRPr="000B0F51" w:rsidRDefault="000B0F51" w:rsidP="000B0F51">
      <w:r w:rsidRPr="000B0F51">
        <w:t>The PED aims to guarantee the free movement of products within its scope across the European Union while ensuring a high level of safety for users. Our adherence to this directive signifies our dedication to ensuring that our products not only meet but exceed the stringent safety standards set by the European Union.</w:t>
      </w:r>
      <w:r w:rsidR="00CC5BA3">
        <w:t xml:space="preserve"> </w:t>
      </w:r>
    </w:p>
    <w:p w14:paraId="61EA61CC" w14:textId="437321E9" w:rsidR="000B0F51" w:rsidRPr="000B0F51" w:rsidRDefault="000B0F51" w:rsidP="000B0F51">
      <w:r w:rsidRPr="000B0F51">
        <w:t xml:space="preserve">Furthermore, as a testament to our commitment to European standards, we ensure that our </w:t>
      </w:r>
      <w:r w:rsidR="00996273">
        <w:t xml:space="preserve">hose station </w:t>
      </w:r>
      <w:r w:rsidRPr="000B0F51">
        <w:t>pressure equipment and assemblies</w:t>
      </w:r>
      <w:r w:rsidR="002674BC">
        <w:t xml:space="preserve"> </w:t>
      </w:r>
      <w:r w:rsidRPr="000B0F51">
        <w:t>comply with the requirements of the PED. This ensures the safety and reliability of</w:t>
      </w:r>
      <w:r w:rsidR="00996273">
        <w:t xml:space="preserve"> SuperKlean</w:t>
      </w:r>
      <w:r w:rsidRPr="000B0F51">
        <w:t xml:space="preserve"> products when they are sold in Europe.</w:t>
      </w:r>
    </w:p>
    <w:p w14:paraId="77B6AC18" w14:textId="77777777" w:rsidR="000B0F51" w:rsidRPr="000B0F51" w:rsidRDefault="000B0F51" w:rsidP="000B0F51">
      <w:r w:rsidRPr="000B0F51">
        <w:t>By aligning with the PED and other European standards, SuperKlean reaffirms its dedication to delivering products that are safe, reliable, and of the highest quality to our customers in Europe and around the world.</w:t>
      </w:r>
    </w:p>
    <w:p w14:paraId="06C2390C" w14:textId="7C59F9EE" w:rsidR="00D16B04" w:rsidRDefault="00D16B04" w:rsidP="000B0F51">
      <w:r>
        <w:t>For more information on SuperKlean, please contact Bob Rudy, VP of International Sales and Marketing,</w:t>
      </w:r>
      <w:r w:rsidR="000E44A4">
        <w:t xml:space="preserve"> </w:t>
      </w:r>
      <w:r w:rsidR="002209AD">
        <w:t xml:space="preserve">at </w:t>
      </w:r>
      <w:hyperlink r:id="rId4" w:history="1">
        <w:r w:rsidR="002209AD" w:rsidRPr="002F5708">
          <w:rPr>
            <w:rStyle w:val="Hyperlink"/>
          </w:rPr>
          <w:t>1-800-769-9173</w:t>
        </w:r>
      </w:hyperlink>
      <w:r>
        <w:t xml:space="preserve"> or</w:t>
      </w:r>
      <w:r w:rsidR="00996273">
        <w:t xml:space="preserve"> direct at 1-949-533-2300, or by email at </w:t>
      </w:r>
      <w:hyperlink r:id="rId5" w:history="1">
        <w:r w:rsidR="00996273" w:rsidRPr="008E3C48">
          <w:rPr>
            <w:rStyle w:val="Hyperlink"/>
          </w:rPr>
          <w:t>sales@superklean.com</w:t>
        </w:r>
      </w:hyperlink>
      <w:r>
        <w:t>.</w:t>
      </w:r>
    </w:p>
    <w:p w14:paraId="6836639F" w14:textId="03874950" w:rsidR="00D16B04" w:rsidRDefault="000E44A4" w:rsidP="000B0F51">
      <w:r w:rsidRPr="000B0F51">
        <w:t>For more information</w:t>
      </w:r>
      <w:r>
        <w:t xml:space="preserve"> on </w:t>
      </w:r>
      <w:r w:rsidRPr="000B0F51">
        <w:t>the Pressure Equipment Directiv</w:t>
      </w:r>
      <w:r>
        <w:t>e</w:t>
      </w:r>
      <w:r w:rsidRPr="000B0F51">
        <w:t>,</w:t>
      </w:r>
      <w:r>
        <w:t xml:space="preserve"> please </w:t>
      </w:r>
      <w:r w:rsidRPr="000B0F51">
        <w:t xml:space="preserve">refer to the official </w:t>
      </w:r>
      <w:hyperlink r:id="rId6" w:tgtFrame="_new" w:history="1">
        <w:r w:rsidRPr="000B0F51">
          <w:rPr>
            <w:rStyle w:val="Hyperlink"/>
          </w:rPr>
          <w:t>European Commission's Pressure Equipment Directive page</w:t>
        </w:r>
      </w:hyperlink>
      <w:r>
        <w:t>.</w:t>
      </w:r>
    </w:p>
    <w:p w14:paraId="3312E20F" w14:textId="77777777" w:rsidR="00996273" w:rsidRDefault="00996273" w:rsidP="000B0F51"/>
    <w:p w14:paraId="1058E6DD" w14:textId="7103A3A5" w:rsidR="00272250" w:rsidRDefault="00996273" w:rsidP="000B0F51">
      <w:r w:rsidRPr="00D16B04">
        <w:rPr>
          <w:noProof/>
        </w:rPr>
        <w:drawing>
          <wp:inline distT="0" distB="0" distL="0" distR="0" wp14:anchorId="78A1A842" wp14:editId="4A6E7D30">
            <wp:extent cx="3098800" cy="738120"/>
            <wp:effectExtent l="0" t="0" r="6350" b="5080"/>
            <wp:docPr id="170150793"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50793" name="Picture 1" descr="A blue text on a white background&#10;&#10;Description automatically generated"/>
                    <pic:cNvPicPr/>
                  </pic:nvPicPr>
                  <pic:blipFill>
                    <a:blip r:embed="rId7"/>
                    <a:stretch>
                      <a:fillRect/>
                    </a:stretch>
                  </pic:blipFill>
                  <pic:spPr>
                    <a:xfrm>
                      <a:off x="0" y="0"/>
                      <a:ext cx="3176359" cy="756594"/>
                    </a:xfrm>
                    <a:prstGeom prst="rect">
                      <a:avLst/>
                    </a:prstGeom>
                  </pic:spPr>
                </pic:pic>
              </a:graphicData>
            </a:graphic>
          </wp:inline>
        </w:drawing>
      </w:r>
      <w:r w:rsidR="00283E22">
        <w:rPr>
          <w:noProof/>
        </w:rPr>
        <w:drawing>
          <wp:inline distT="0" distB="0" distL="0" distR="0" wp14:anchorId="33A9E36F" wp14:editId="2C9081EF">
            <wp:extent cx="1896519" cy="1828786"/>
            <wp:effectExtent l="0" t="0" r="0" b="0"/>
            <wp:docPr id="16645109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510935" name="Picture 1664510935"/>
                    <pic:cNvPicPr/>
                  </pic:nvPicPr>
                  <pic:blipFill>
                    <a:blip r:embed="rId8">
                      <a:extLst>
                        <a:ext uri="{28A0092B-C50C-407E-A947-70E740481C1C}">
                          <a14:useLocalDpi xmlns:a14="http://schemas.microsoft.com/office/drawing/2010/main" val="0"/>
                        </a:ext>
                      </a:extLst>
                    </a:blip>
                    <a:stretch>
                      <a:fillRect/>
                    </a:stretch>
                  </pic:blipFill>
                  <pic:spPr>
                    <a:xfrm>
                      <a:off x="0" y="0"/>
                      <a:ext cx="1896519" cy="1828786"/>
                    </a:xfrm>
                    <a:prstGeom prst="rect">
                      <a:avLst/>
                    </a:prstGeom>
                  </pic:spPr>
                </pic:pic>
              </a:graphicData>
            </a:graphic>
          </wp:inline>
        </w:drawing>
      </w:r>
    </w:p>
    <w:p w14:paraId="50A8D309" w14:textId="77777777" w:rsidR="00996273" w:rsidRPr="00996273" w:rsidRDefault="00272250" w:rsidP="000B0F51">
      <w:pPr>
        <w:rPr>
          <w:b/>
          <w:bCs/>
        </w:rPr>
      </w:pPr>
      <w:r w:rsidRPr="00996273">
        <w:rPr>
          <w:b/>
          <w:bCs/>
        </w:rPr>
        <w:t>SuperKlean</w:t>
      </w:r>
      <w:r w:rsidR="00996273" w:rsidRPr="00996273">
        <w:rPr>
          <w:b/>
          <w:bCs/>
        </w:rPr>
        <w:t xml:space="preserve"> </w:t>
      </w:r>
      <w:r w:rsidRPr="00996273">
        <w:rPr>
          <w:b/>
          <w:bCs/>
        </w:rPr>
        <w:t xml:space="preserve">Address: </w:t>
      </w:r>
    </w:p>
    <w:p w14:paraId="69A31ACA" w14:textId="77777777" w:rsidR="00996273" w:rsidRPr="00996273" w:rsidRDefault="00272250" w:rsidP="000B0F51">
      <w:pPr>
        <w:rPr>
          <w:b/>
          <w:bCs/>
        </w:rPr>
      </w:pPr>
      <w:r w:rsidRPr="00996273">
        <w:rPr>
          <w:b/>
          <w:bCs/>
        </w:rPr>
        <w:t xml:space="preserve">1 Edwards Court, </w:t>
      </w:r>
      <w:r w:rsidR="00996273" w:rsidRPr="00996273">
        <w:rPr>
          <w:b/>
          <w:bCs/>
        </w:rPr>
        <w:t>#</w:t>
      </w:r>
      <w:r w:rsidRPr="00996273">
        <w:rPr>
          <w:b/>
          <w:bCs/>
        </w:rPr>
        <w:t xml:space="preserve">101, </w:t>
      </w:r>
    </w:p>
    <w:p w14:paraId="77E092BC" w14:textId="3ED58438" w:rsidR="001F232F" w:rsidRPr="00283E22" w:rsidRDefault="00272250">
      <w:pPr>
        <w:rPr>
          <w:b/>
          <w:bCs/>
        </w:rPr>
      </w:pPr>
      <w:r w:rsidRPr="00996273">
        <w:rPr>
          <w:b/>
          <w:bCs/>
        </w:rPr>
        <w:t>Burlingame, California</w:t>
      </w:r>
      <w:r w:rsidR="00996273" w:rsidRPr="00996273">
        <w:rPr>
          <w:b/>
          <w:bCs/>
        </w:rPr>
        <w:t xml:space="preserve"> 94010</w:t>
      </w:r>
      <w:r w:rsidR="00996273">
        <w:rPr>
          <w:b/>
          <w:bCs/>
        </w:rPr>
        <w:t xml:space="preserve"> USA</w:t>
      </w:r>
    </w:p>
    <w:sectPr w:rsidR="001F232F" w:rsidRPr="00283E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834"/>
    <w:rsid w:val="000678EA"/>
    <w:rsid w:val="000B0F51"/>
    <w:rsid w:val="000E44A4"/>
    <w:rsid w:val="001D0834"/>
    <w:rsid w:val="001F232F"/>
    <w:rsid w:val="002209AD"/>
    <w:rsid w:val="002674BC"/>
    <w:rsid w:val="00272250"/>
    <w:rsid w:val="00283E22"/>
    <w:rsid w:val="002F5708"/>
    <w:rsid w:val="00320E55"/>
    <w:rsid w:val="005F6A86"/>
    <w:rsid w:val="0068041E"/>
    <w:rsid w:val="00771BCE"/>
    <w:rsid w:val="00777A58"/>
    <w:rsid w:val="007C4321"/>
    <w:rsid w:val="008348F2"/>
    <w:rsid w:val="008E2A35"/>
    <w:rsid w:val="00996273"/>
    <w:rsid w:val="009964B4"/>
    <w:rsid w:val="00CC5BA3"/>
    <w:rsid w:val="00D16B04"/>
    <w:rsid w:val="00D8662E"/>
    <w:rsid w:val="00E23C15"/>
    <w:rsid w:val="00F53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B0358"/>
  <w15:chartTrackingRefBased/>
  <w15:docId w15:val="{503AF05F-56FD-4F01-AE09-AE0D48778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0F51"/>
    <w:rPr>
      <w:color w:val="0563C1" w:themeColor="hyperlink"/>
      <w:u w:val="single"/>
    </w:rPr>
  </w:style>
  <w:style w:type="character" w:styleId="UnresolvedMention">
    <w:name w:val="Unresolved Mention"/>
    <w:basedOn w:val="DefaultParagraphFont"/>
    <w:uiPriority w:val="99"/>
    <w:semiHidden/>
    <w:unhideWhenUsed/>
    <w:rsid w:val="000B0F51"/>
    <w:rPr>
      <w:color w:val="605E5C"/>
      <w:shd w:val="clear" w:color="auto" w:fill="E1DFDD"/>
    </w:rPr>
  </w:style>
  <w:style w:type="paragraph" w:styleId="Revision">
    <w:name w:val="Revision"/>
    <w:hidden/>
    <w:uiPriority w:val="99"/>
    <w:semiHidden/>
    <w:rsid w:val="006804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452626">
      <w:bodyDiv w:val="1"/>
      <w:marLeft w:val="0"/>
      <w:marRight w:val="0"/>
      <w:marTop w:val="0"/>
      <w:marBottom w:val="0"/>
      <w:divBdr>
        <w:top w:val="none" w:sz="0" w:space="0" w:color="auto"/>
        <w:left w:val="none" w:sz="0" w:space="0" w:color="auto"/>
        <w:bottom w:val="none" w:sz="0" w:space="0" w:color="auto"/>
        <w:right w:val="none" w:sz="0" w:space="0" w:color="auto"/>
      </w:divBdr>
    </w:div>
    <w:div w:id="768233807">
      <w:bodyDiv w:val="1"/>
      <w:marLeft w:val="0"/>
      <w:marRight w:val="0"/>
      <w:marTop w:val="0"/>
      <w:marBottom w:val="0"/>
      <w:divBdr>
        <w:top w:val="none" w:sz="0" w:space="0" w:color="auto"/>
        <w:left w:val="none" w:sz="0" w:space="0" w:color="auto"/>
        <w:bottom w:val="none" w:sz="0" w:space="0" w:color="auto"/>
        <w:right w:val="none" w:sz="0" w:space="0" w:color="auto"/>
      </w:divBdr>
    </w:div>
    <w:div w:id="133322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ingle-market-economy.ec.europa.eu/sectors/pressure-equipment-and-gas-appliances/pressure-equipment-sector/pressure-equipment-directive_en" TargetMode="External"/><Relationship Id="rId5" Type="http://schemas.openxmlformats.org/officeDocument/2006/relationships/hyperlink" Target="mailto:sales@superklean.com" TargetMode="External"/><Relationship Id="rId10" Type="http://schemas.openxmlformats.org/officeDocument/2006/relationships/theme" Target="theme/theme1.xml"/><Relationship Id="rId4" Type="http://schemas.openxmlformats.org/officeDocument/2006/relationships/hyperlink" Target="tel:8007699173"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Klipp</dc:creator>
  <cp:keywords/>
  <dc:description/>
  <cp:lastModifiedBy>Andrew Guida</cp:lastModifiedBy>
  <cp:revision>2</cp:revision>
  <dcterms:created xsi:type="dcterms:W3CDTF">2023-08-17T20:19:00Z</dcterms:created>
  <dcterms:modified xsi:type="dcterms:W3CDTF">2023-08-17T20:19:00Z</dcterms:modified>
</cp:coreProperties>
</file>